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highlight w:val="none"/>
          <w:lang w:eastAsia="zh-CN"/>
        </w:rPr>
      </w:pPr>
      <w:r>
        <w:rPr>
          <w:rFonts w:hint="eastAsia"/>
          <w:b/>
          <w:bCs/>
          <w:sz w:val="32"/>
          <w:szCs w:val="32"/>
          <w:highlight w:val="none"/>
          <w:lang w:eastAsia="zh-CN"/>
        </w:rPr>
        <w:t>常德市德山污水处理厂提标改造二期工程项目</w:t>
      </w:r>
    </w:p>
    <w:p>
      <w:pPr>
        <w:jc w:val="center"/>
        <w:rPr>
          <w:rFonts w:hint="eastAsia"/>
          <w:b/>
          <w:bCs/>
          <w:sz w:val="32"/>
          <w:szCs w:val="32"/>
          <w:lang w:eastAsia="zh-CN"/>
        </w:rPr>
      </w:pPr>
      <w:r>
        <w:rPr>
          <w:rFonts w:hint="eastAsia"/>
          <w:b/>
          <w:bCs/>
          <w:sz w:val="32"/>
          <w:szCs w:val="32"/>
          <w:highlight w:val="none"/>
          <w:lang w:eastAsia="zh-CN"/>
        </w:rPr>
        <w:t>竣工环境保护</w:t>
      </w:r>
      <w:r>
        <w:rPr>
          <w:rFonts w:hint="eastAsia"/>
          <w:b/>
          <w:bCs/>
          <w:sz w:val="32"/>
          <w:szCs w:val="32"/>
          <w:lang w:eastAsia="zh-CN"/>
        </w:rPr>
        <w:t>验收意见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sz w:val="24"/>
          <w:szCs w:val="24"/>
          <w:highlight w:val="none"/>
          <w:lang w:val="en-US" w:eastAsia="zh-CN"/>
        </w:rPr>
        <w:t>2024年3月13日，</w:t>
      </w:r>
      <w:r>
        <w:rPr>
          <w:rFonts w:hint="eastAsia" w:ascii="Times New Roman" w:hAnsi="Times New Roman" w:eastAsia="宋体" w:cs="Times New Roman"/>
          <w:sz w:val="24"/>
          <w:szCs w:val="24"/>
          <w:highlight w:val="none"/>
          <w:lang w:eastAsia="zh-CN"/>
        </w:rPr>
        <w:t>常德清蓝水务有限公司根据</w:t>
      </w:r>
      <w:r>
        <w:rPr>
          <w:rFonts w:hint="default" w:ascii="Times New Roman" w:hAnsi="Times New Roman" w:eastAsia="宋体" w:cs="Times New Roman"/>
          <w:kern w:val="2"/>
          <w:sz w:val="24"/>
          <w:szCs w:val="24"/>
          <w:highlight w:val="none"/>
          <w:lang w:val="en-US" w:eastAsia="zh-CN"/>
        </w:rPr>
        <w:t>《</w:t>
      </w:r>
      <w:r>
        <w:rPr>
          <w:rFonts w:hint="eastAsia" w:ascii="Times New Roman" w:hAnsi="Times New Roman" w:eastAsia="宋体" w:cs="Times New Roman"/>
          <w:kern w:val="2"/>
          <w:sz w:val="24"/>
          <w:szCs w:val="24"/>
          <w:highlight w:val="none"/>
          <w:lang w:val="en-US" w:eastAsia="zh-CN"/>
        </w:rPr>
        <w:t>常德市德山污水处理厂提标改造二期工程项目竣工环境保护验收监测报告</w:t>
      </w:r>
      <w:r>
        <w:rPr>
          <w:rFonts w:hint="default" w:ascii="Times New Roman" w:hAnsi="Times New Roman" w:eastAsia="宋体" w:cs="Times New Roman"/>
          <w:kern w:val="2"/>
          <w:sz w:val="24"/>
          <w:szCs w:val="24"/>
          <w:lang w:val="en-US" w:eastAsia="zh-CN"/>
        </w:rPr>
        <w:t>》，严格依照国家有关法律法规对本项目进行验收，提出意见如下：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一、工程建设基本情况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eastAsia="宋体" w:cs="Times New Roman"/>
          <w:b w:val="0"/>
          <w:bCs w:val="0"/>
          <w:sz w:val="24"/>
          <w:szCs w:val="24"/>
          <w:highlight w:val="none"/>
          <w:lang w:val="en-US" w:eastAsia="zh-CN"/>
        </w:rPr>
        <w:t>建设地点、规模、主要建设内容</w:t>
      </w:r>
    </w:p>
    <w:p>
      <w:pPr>
        <w:spacing w:line="360" w:lineRule="auto"/>
        <w:ind w:firstLine="480" w:firstLineChars="200"/>
        <w:rPr>
          <w:rFonts w:hint="default" w:ascii="Times New Roman" w:hAnsi="Times New Roman" w:cs="Times New Roman"/>
          <w:b w:val="0"/>
          <w:bCs w:val="0"/>
          <w:color w:val="auto"/>
          <w:sz w:val="24"/>
        </w:rPr>
      </w:pPr>
      <w:r>
        <w:rPr>
          <w:rFonts w:ascii="Times New Roman" w:hAnsi="Times New Roman" w:cs="Times New Roman"/>
          <w:b w:val="0"/>
          <w:bCs w:val="0"/>
          <w:color w:val="auto"/>
          <w:sz w:val="24"/>
        </w:rPr>
        <w:t>建设地点：</w:t>
      </w:r>
      <w:r>
        <w:rPr>
          <w:rFonts w:hint="eastAsia" w:ascii="Times New Roman" w:hAnsi="Times New Roman" w:cs="Times New Roman"/>
          <w:b w:val="0"/>
          <w:bCs w:val="0"/>
          <w:color w:val="auto"/>
          <w:sz w:val="24"/>
        </w:rPr>
        <w:t>常德经济技术开发区</w:t>
      </w:r>
      <w:r>
        <w:rPr>
          <w:rFonts w:hint="default" w:ascii="Times New Roman" w:hAnsi="Times New Roman" w:cs="Times New Roman"/>
          <w:b w:val="0"/>
          <w:bCs w:val="0"/>
          <w:color w:val="auto"/>
          <w:sz w:val="24"/>
        </w:rPr>
        <w:t>德山镇五一村新包垸11组，中心经纬度：东经111°42′50.512″，北纬28°56′58.598″。</w:t>
      </w:r>
    </w:p>
    <w:p>
      <w:pPr>
        <w:spacing w:line="360" w:lineRule="auto"/>
        <w:ind w:firstLine="480" w:firstLineChars="200"/>
        <w:rPr>
          <w:rFonts w:hint="eastAsia" w:ascii="Times New Roman" w:hAnsi="Times New Roman" w:eastAsia="宋体" w:cs="Times New Roman"/>
          <w:b w:val="0"/>
          <w:bCs w:val="0"/>
          <w:color w:val="auto"/>
          <w:sz w:val="24"/>
        </w:rPr>
      </w:pPr>
      <w:r>
        <w:rPr>
          <w:rFonts w:hint="eastAsia" w:ascii="Times New Roman" w:hAnsi="Times New Roman" w:eastAsia="宋体" w:cs="Times New Roman"/>
          <w:b w:val="0"/>
          <w:bCs w:val="0"/>
          <w:color w:val="auto"/>
          <w:sz w:val="24"/>
          <w:lang w:val="en-US" w:eastAsia="zh-CN"/>
        </w:rPr>
        <w:t>设计</w:t>
      </w:r>
      <w:r>
        <w:rPr>
          <w:rFonts w:hint="eastAsia" w:ascii="Times New Roman" w:hAnsi="Times New Roman" w:eastAsia="宋体" w:cs="Times New Roman"/>
          <w:b w:val="0"/>
          <w:bCs w:val="0"/>
          <w:color w:val="auto"/>
          <w:sz w:val="24"/>
        </w:rPr>
        <w:t>建设规模：二期污水处理规模为5万m</w:t>
      </w:r>
      <w:r>
        <w:rPr>
          <w:rFonts w:hint="eastAsia" w:ascii="Times New Roman" w:hAnsi="Times New Roman" w:eastAsia="宋体" w:cs="Times New Roman"/>
          <w:b w:val="0"/>
          <w:bCs w:val="0"/>
          <w:color w:val="auto"/>
          <w:sz w:val="24"/>
          <w:vertAlign w:val="superscript"/>
        </w:rPr>
        <w:t>3</w:t>
      </w:r>
      <w:r>
        <w:rPr>
          <w:rFonts w:hint="eastAsia" w:ascii="Times New Roman" w:hAnsi="Times New Roman" w:eastAsia="宋体" w:cs="Times New Roman"/>
          <w:b w:val="0"/>
          <w:bCs w:val="0"/>
          <w:color w:val="auto"/>
          <w:sz w:val="24"/>
        </w:rPr>
        <w:t>/d。</w:t>
      </w:r>
    </w:p>
    <w:p>
      <w:pPr>
        <w:spacing w:line="360" w:lineRule="auto"/>
        <w:ind w:firstLine="480" w:firstLineChars="200"/>
        <w:rPr>
          <w:rFonts w:ascii="Times New Roman" w:hAnsi="Times New Roman" w:eastAsia="宋体" w:cs="Times New Roman"/>
          <w:b w:val="0"/>
          <w:bCs w:val="0"/>
          <w:color w:val="auto"/>
          <w:sz w:val="24"/>
        </w:rPr>
      </w:pPr>
      <w:r>
        <w:rPr>
          <w:rFonts w:hint="eastAsia" w:ascii="Times New Roman" w:hAnsi="Times New Roman" w:eastAsia="宋体" w:cs="Times New Roman"/>
          <w:b w:val="0"/>
          <w:bCs w:val="0"/>
          <w:color w:val="auto"/>
          <w:sz w:val="24"/>
          <w:lang w:val="en-US" w:eastAsia="zh-CN"/>
        </w:rPr>
        <w:t>实际建设规模：</w:t>
      </w:r>
      <w:r>
        <w:rPr>
          <w:rFonts w:hint="eastAsia" w:ascii="Times New Roman" w:hAnsi="Times New Roman" w:eastAsia="宋体" w:cs="Times New Roman"/>
          <w:b w:val="0"/>
          <w:bCs w:val="0"/>
          <w:color w:val="auto"/>
          <w:sz w:val="24"/>
        </w:rPr>
        <w:t>二期污水处理规模为5万m</w:t>
      </w:r>
      <w:r>
        <w:rPr>
          <w:rFonts w:hint="eastAsia" w:ascii="Times New Roman" w:hAnsi="Times New Roman" w:eastAsia="宋体" w:cs="Times New Roman"/>
          <w:b w:val="0"/>
          <w:bCs w:val="0"/>
          <w:color w:val="auto"/>
          <w:sz w:val="24"/>
          <w:vertAlign w:val="superscript"/>
        </w:rPr>
        <w:t>3</w:t>
      </w:r>
      <w:r>
        <w:rPr>
          <w:rFonts w:hint="eastAsia" w:ascii="Times New Roman" w:hAnsi="Times New Roman" w:eastAsia="宋体" w:cs="Times New Roman"/>
          <w:b w:val="0"/>
          <w:bCs w:val="0"/>
          <w:color w:val="auto"/>
          <w:sz w:val="24"/>
        </w:rPr>
        <w:t>/d。</w:t>
      </w:r>
    </w:p>
    <w:p>
      <w:pPr>
        <w:spacing w:line="360" w:lineRule="auto"/>
        <w:ind w:firstLine="480" w:firstLineChars="200"/>
        <w:rPr>
          <w:rFonts w:ascii="Times New Roman" w:hAnsi="Times New Roman" w:eastAsia="宋体" w:cs="Times New Roman"/>
          <w:b w:val="0"/>
          <w:bCs w:val="0"/>
          <w:color w:val="auto"/>
          <w:sz w:val="24"/>
        </w:rPr>
      </w:pPr>
      <w:r>
        <w:rPr>
          <w:rFonts w:ascii="Times New Roman" w:hAnsi="Times New Roman" w:eastAsia="宋体" w:cs="Times New Roman"/>
          <w:b w:val="0"/>
          <w:bCs w:val="0"/>
          <w:color w:val="auto"/>
          <w:sz w:val="24"/>
        </w:rPr>
        <w:t>主要建设内容</w:t>
      </w:r>
      <w:r>
        <w:rPr>
          <w:rFonts w:hint="eastAsia" w:ascii="Times New Roman" w:hAnsi="Times New Roman" w:eastAsia="宋体" w:cs="Times New Roman"/>
          <w:b w:val="0"/>
          <w:bCs w:val="0"/>
          <w:color w:val="auto"/>
          <w:sz w:val="24"/>
        </w:rPr>
        <w:t>：提标改造二期工程建设内容主要包括：新建一套处理规模5 万m</w:t>
      </w:r>
      <w:r>
        <w:rPr>
          <w:rFonts w:hint="eastAsia" w:ascii="Times New Roman" w:hAnsi="Times New Roman" w:eastAsia="宋体" w:cs="Times New Roman"/>
          <w:b w:val="0"/>
          <w:bCs w:val="0"/>
          <w:color w:val="auto"/>
          <w:sz w:val="24"/>
          <w:vertAlign w:val="superscript"/>
        </w:rPr>
        <w:t>3</w:t>
      </w:r>
      <w:r>
        <w:rPr>
          <w:rFonts w:hint="eastAsia" w:ascii="Times New Roman" w:hAnsi="Times New Roman" w:eastAsia="宋体" w:cs="Times New Roman"/>
          <w:b w:val="0"/>
          <w:bCs w:val="0"/>
          <w:color w:val="auto"/>
          <w:sz w:val="24"/>
        </w:rPr>
        <w:t>/d的污泥深度脱水系统，同时整合现有污泥脱水设施以便于统一运营管理，总处理规模10万m</w:t>
      </w:r>
      <w:r>
        <w:rPr>
          <w:rFonts w:hint="eastAsia" w:ascii="Times New Roman" w:hAnsi="Times New Roman" w:eastAsia="宋体" w:cs="Times New Roman"/>
          <w:b w:val="0"/>
          <w:bCs w:val="0"/>
          <w:color w:val="auto"/>
          <w:sz w:val="24"/>
          <w:vertAlign w:val="superscript"/>
        </w:rPr>
        <w:t>3</w:t>
      </w:r>
      <w:r>
        <w:rPr>
          <w:rFonts w:hint="eastAsia" w:ascii="Times New Roman" w:hAnsi="Times New Roman" w:eastAsia="宋体" w:cs="Times New Roman"/>
          <w:b w:val="0"/>
          <w:bCs w:val="0"/>
          <w:color w:val="auto"/>
          <w:sz w:val="24"/>
        </w:rPr>
        <w:t>/d ，新建污泥浓缩池、污泥调理池及污泥脱水间各一座。新建一套处理规模5万m</w:t>
      </w:r>
      <w:r>
        <w:rPr>
          <w:rFonts w:hint="eastAsia" w:ascii="Times New Roman" w:hAnsi="Times New Roman" w:eastAsia="宋体" w:cs="Times New Roman"/>
          <w:b w:val="0"/>
          <w:bCs w:val="0"/>
          <w:color w:val="auto"/>
          <w:sz w:val="24"/>
          <w:vertAlign w:val="superscript"/>
        </w:rPr>
        <w:t>3</w:t>
      </w:r>
      <w:r>
        <w:rPr>
          <w:rFonts w:hint="eastAsia" w:ascii="Times New Roman" w:hAnsi="Times New Roman" w:eastAsia="宋体" w:cs="Times New Roman"/>
          <w:b w:val="0"/>
          <w:bCs w:val="0"/>
          <w:color w:val="auto"/>
          <w:sz w:val="24"/>
        </w:rPr>
        <w:t>/d 的污水深度处理系统，新建中间提升泵站、高效沉淀池、滤布滤池各一座。配套新建一套处理规模</w:t>
      </w:r>
      <w:r>
        <w:rPr>
          <w:rFonts w:hint="eastAsia" w:ascii="Times New Roman" w:hAnsi="Times New Roman" w:eastAsia="宋体" w:cs="Times New Roman"/>
          <w:b w:val="0"/>
          <w:bCs w:val="0"/>
          <w:color w:val="auto"/>
          <w:sz w:val="24"/>
          <w:lang w:val="en-US" w:eastAsia="zh-CN"/>
        </w:rPr>
        <w:t>4</w:t>
      </w:r>
      <w:r>
        <w:rPr>
          <w:rFonts w:hint="eastAsia" w:ascii="Times New Roman" w:hAnsi="Times New Roman" w:eastAsia="宋体" w:cs="Times New Roman"/>
          <w:b w:val="0"/>
          <w:bCs w:val="0"/>
          <w:color w:val="auto"/>
          <w:sz w:val="24"/>
        </w:rPr>
        <w:t>0000 m</w:t>
      </w:r>
      <w:r>
        <w:rPr>
          <w:rFonts w:hint="eastAsia" w:ascii="Times New Roman" w:hAnsi="Times New Roman" w:eastAsia="宋体" w:cs="Times New Roman"/>
          <w:b w:val="0"/>
          <w:bCs w:val="0"/>
          <w:color w:val="auto"/>
          <w:sz w:val="24"/>
          <w:vertAlign w:val="superscript"/>
        </w:rPr>
        <w:t>3</w:t>
      </w:r>
      <w:r>
        <w:rPr>
          <w:rFonts w:hint="eastAsia" w:ascii="Times New Roman" w:hAnsi="Times New Roman" w:eastAsia="宋体" w:cs="Times New Roman"/>
          <w:b w:val="0"/>
          <w:bCs w:val="0"/>
          <w:color w:val="auto"/>
          <w:sz w:val="24"/>
        </w:rPr>
        <w:t>/h的生物除臭系统；为提高预处理效果，细格栅更换为内径流式细格栅，旋流沉砂池的提砂方式改造为汽提；由于有工业废水进入，水体可生化性较差，配套设置一套碳源投加系统。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lang w:val="en-US" w:eastAsia="zh-CN"/>
        </w:rPr>
        <w:t>投资情况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项目实际总投资</w:t>
      </w:r>
      <w:r>
        <w:rPr>
          <w:rFonts w:hint="eastAsia" w:ascii="Times New Roman" w:hAnsi="Times New Roman" w:eastAsia="宋体" w:cs="Times New Roman"/>
          <w:color w:val="auto"/>
          <w:sz w:val="24"/>
          <w:szCs w:val="24"/>
          <w:highlight w:val="none"/>
          <w:lang w:val="en-US" w:eastAsia="zh-CN"/>
        </w:rPr>
        <w:t>5300</w:t>
      </w:r>
      <w:r>
        <w:rPr>
          <w:rFonts w:hint="default" w:ascii="Times New Roman" w:hAnsi="Times New Roman" w:eastAsia="宋体" w:cs="Times New Roman"/>
          <w:color w:val="auto"/>
          <w:sz w:val="24"/>
          <w:szCs w:val="24"/>
          <w:highlight w:val="none"/>
          <w:lang w:val="en-US" w:eastAsia="zh-CN"/>
        </w:rPr>
        <w:t>万元，环保投资</w:t>
      </w:r>
      <w:r>
        <w:rPr>
          <w:rFonts w:hint="eastAsia" w:ascii="Times New Roman" w:hAnsi="Times New Roman" w:eastAsia="宋体" w:cs="Times New Roman"/>
          <w:color w:val="auto"/>
          <w:sz w:val="24"/>
          <w:szCs w:val="24"/>
          <w:highlight w:val="none"/>
          <w:lang w:val="en-US" w:eastAsia="zh-CN"/>
        </w:rPr>
        <w:t>5300</w:t>
      </w:r>
      <w:r>
        <w:rPr>
          <w:rFonts w:hint="default" w:ascii="Times New Roman" w:hAnsi="Times New Roman" w:eastAsia="宋体" w:cs="Times New Roman"/>
          <w:color w:val="auto"/>
          <w:sz w:val="24"/>
          <w:szCs w:val="24"/>
          <w:highlight w:val="none"/>
          <w:lang w:val="en-US" w:eastAsia="zh-CN"/>
        </w:rPr>
        <w:t>万元，约占总投资额的</w:t>
      </w:r>
      <w:r>
        <w:rPr>
          <w:rFonts w:hint="eastAsia" w:ascii="Times New Roman" w:hAnsi="Times New Roman" w:eastAsia="宋体" w:cs="Times New Roman"/>
          <w:color w:val="auto"/>
          <w:sz w:val="24"/>
          <w:szCs w:val="24"/>
          <w:highlight w:val="none"/>
          <w:lang w:val="en-US" w:eastAsia="zh-CN"/>
        </w:rPr>
        <w:t>100</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验收范围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highlight w:val="none"/>
          <w:u w:val="none"/>
          <w:lang w:val="en-US" w:eastAsia="zh-CN"/>
        </w:rPr>
        <w:t>常德市德山污水处理厂</w:t>
      </w:r>
      <w:r>
        <w:rPr>
          <w:rFonts w:hint="default" w:ascii="Times New Roman" w:hAnsi="Times New Roman" w:cs="Times New Roman" w:eastAsiaTheme="minorEastAsia"/>
          <w:color w:val="auto"/>
          <w:sz w:val="24"/>
          <w:highlight w:val="none"/>
          <w:u w:val="none"/>
        </w:rPr>
        <w:t>2号生产线及其他相关设施产生的废水、废气、噪声、固废治理情况进行验收</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highlight w:val="none"/>
          <w:lang w:val="en-US" w:eastAsia="zh-CN"/>
        </w:rPr>
        <w:t>二、</w:t>
      </w:r>
      <w:r>
        <w:rPr>
          <w:rFonts w:hint="default" w:ascii="Times New Roman" w:hAnsi="Times New Roman" w:eastAsia="宋体" w:cs="Times New Roman"/>
          <w:b/>
          <w:bCs/>
          <w:sz w:val="24"/>
          <w:szCs w:val="24"/>
          <w:lang w:val="en-US" w:eastAsia="zh-CN"/>
        </w:rPr>
        <w:t>主要环境保护设施建设情况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废水</w:t>
      </w:r>
    </w:p>
    <w:p>
      <w:pPr>
        <w:pStyle w:val="4"/>
        <w:keepNext w:val="0"/>
        <w:keepLines w:val="0"/>
        <w:pageBreakBefore w:val="0"/>
        <w:widowControl w:val="0"/>
        <w:tabs>
          <w:tab w:val="center" w:pos="0"/>
        </w:tabs>
        <w:kinsoku/>
        <w:wordWrap/>
        <w:overflowPunct/>
        <w:topLinePunct w:val="0"/>
        <w:autoSpaceDE/>
        <w:autoSpaceDN/>
        <w:bidi w:val="0"/>
        <w:adjustRightInd/>
        <w:snapToGrid w:val="0"/>
        <w:spacing w:line="360" w:lineRule="auto"/>
        <w:ind w:left="0" w:firstLine="480" w:firstLineChars="200"/>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sz w:val="24"/>
          <w:szCs w:val="24"/>
          <w:highlight w:val="none"/>
          <w:lang w:val="en-US" w:eastAsia="zh-CN"/>
        </w:rPr>
        <w:t>本项目废水主要来源于污水处理厂接纳的城区生活污水、工业废水以及厂内工作人员产生的生活污水，主要污染因子为化学需氧量（CODcr）、生化需氧量（BOD</w:t>
      </w:r>
      <w:r>
        <w:rPr>
          <w:rFonts w:hint="default" w:ascii="Times New Roman" w:hAnsi="Times New Roman" w:eastAsia="宋体" w:cs="Times New Roman"/>
          <w:color w:val="auto"/>
          <w:sz w:val="24"/>
          <w:szCs w:val="24"/>
          <w:highlight w:val="none"/>
          <w:vertAlign w:val="subscript"/>
          <w:lang w:val="en-US" w:eastAsia="zh-CN"/>
        </w:rPr>
        <w:t>5</w:t>
      </w:r>
      <w:r>
        <w:rPr>
          <w:rFonts w:hint="default" w:ascii="Times New Roman" w:hAnsi="Times New Roman" w:eastAsia="宋体" w:cs="Times New Roman"/>
          <w:color w:val="auto"/>
          <w:sz w:val="24"/>
          <w:szCs w:val="24"/>
          <w:highlight w:val="none"/>
          <w:lang w:val="en-US" w:eastAsia="zh-CN"/>
        </w:rPr>
        <w:t>）、悬浮物（SS）、氨氮（NH</w:t>
      </w:r>
      <w:r>
        <w:rPr>
          <w:rFonts w:hint="default" w:ascii="Times New Roman" w:hAnsi="Times New Roman" w:eastAsia="宋体" w:cs="Times New Roman"/>
          <w:color w:val="auto"/>
          <w:sz w:val="24"/>
          <w:szCs w:val="24"/>
          <w:highlight w:val="none"/>
          <w:vertAlign w:val="subscript"/>
          <w:lang w:val="en-US" w:eastAsia="zh-CN"/>
        </w:rPr>
        <w:t>3</w:t>
      </w:r>
      <w:r>
        <w:rPr>
          <w:rFonts w:hint="default" w:ascii="Times New Roman" w:hAnsi="Times New Roman" w:eastAsia="宋体" w:cs="Times New Roman"/>
          <w:color w:val="auto"/>
          <w:sz w:val="24"/>
          <w:szCs w:val="24"/>
          <w:highlight w:val="none"/>
          <w:lang w:val="en-US" w:eastAsia="zh-CN"/>
        </w:rPr>
        <w:t xml:space="preserve"> -N）。项目厂区生产废水以及工作人员产生的生活污水通过排水管收集后与接纳的城区生活污水、工业废水一并进入本项目污水处理系统处理后排入东风河</w:t>
      </w:r>
      <w:r>
        <w:rPr>
          <w:rFonts w:hint="eastAsia" w:ascii="Times New Roman" w:hAnsi="Times New Roman" w:eastAsia="宋体" w:cs="Times New Roman"/>
          <w:color w:val="auto"/>
          <w:kern w:val="2"/>
          <w:sz w:val="24"/>
          <w:szCs w:val="24"/>
          <w:highlight w:val="none"/>
          <w:u w:val="none"/>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运营期废气污染物主要污水处理过程中散发出来的恶臭。其主要成份为含N、S类物质，如NH</w:t>
      </w:r>
      <w:r>
        <w:rPr>
          <w:rFonts w:hint="default" w:ascii="Times New Roman" w:hAnsi="Times New Roman" w:eastAsia="宋体" w:cs="Times New Roman"/>
          <w:color w:val="auto"/>
          <w:sz w:val="24"/>
          <w:szCs w:val="24"/>
          <w:highlight w:val="none"/>
          <w:vertAlign w:val="subscript"/>
          <w:lang w:val="en-US" w:eastAsia="zh-CN"/>
        </w:rPr>
        <w:t>3</w:t>
      </w:r>
      <w:r>
        <w:rPr>
          <w:rFonts w:hint="default" w:ascii="Times New Roman" w:hAnsi="Times New Roman" w:eastAsia="宋体" w:cs="Times New Roman"/>
          <w:color w:val="auto"/>
          <w:sz w:val="24"/>
          <w:szCs w:val="24"/>
          <w:highlight w:val="none"/>
          <w:lang w:val="en-US" w:eastAsia="zh-CN"/>
        </w:rPr>
        <w:t>、H</w:t>
      </w:r>
      <w:r>
        <w:rPr>
          <w:rFonts w:hint="default" w:ascii="Times New Roman" w:hAnsi="Times New Roman" w:eastAsia="宋体" w:cs="Times New Roman"/>
          <w:color w:val="auto"/>
          <w:sz w:val="24"/>
          <w:szCs w:val="24"/>
          <w:highlight w:val="none"/>
          <w:vertAlign w:val="subscript"/>
          <w:lang w:val="en-US" w:eastAsia="zh-CN"/>
        </w:rPr>
        <w:t>3</w:t>
      </w:r>
      <w:r>
        <w:rPr>
          <w:rFonts w:hint="default" w:ascii="Times New Roman" w:hAnsi="Times New Roman" w:eastAsia="宋体" w:cs="Times New Roman"/>
          <w:color w:val="auto"/>
          <w:sz w:val="24"/>
          <w:szCs w:val="24"/>
          <w:highlight w:val="none"/>
          <w:lang w:val="en-US" w:eastAsia="zh-CN"/>
        </w:rPr>
        <w:t>CNH</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、CH</w:t>
      </w:r>
      <w:r>
        <w:rPr>
          <w:rFonts w:hint="default" w:ascii="Times New Roman" w:hAnsi="Times New Roman" w:eastAsia="宋体" w:cs="Times New Roman"/>
          <w:color w:val="auto"/>
          <w:sz w:val="24"/>
          <w:szCs w:val="24"/>
          <w:highlight w:val="none"/>
          <w:vertAlign w:val="subscript"/>
          <w:lang w:val="en-US" w:eastAsia="zh-CN"/>
        </w:rPr>
        <w:t>3</w:t>
      </w:r>
      <w:r>
        <w:rPr>
          <w:rFonts w:hint="default" w:ascii="Times New Roman" w:hAnsi="Times New Roman" w:eastAsia="宋体" w:cs="Times New Roman"/>
          <w:color w:val="auto"/>
          <w:sz w:val="24"/>
          <w:szCs w:val="24"/>
          <w:highlight w:val="none"/>
          <w:lang w:val="en-US" w:eastAsia="zh-CN"/>
        </w:rPr>
        <w:t>S-OH、H</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S等，其中NH</w:t>
      </w:r>
      <w:r>
        <w:rPr>
          <w:rFonts w:hint="default" w:ascii="Times New Roman" w:hAnsi="Times New Roman" w:eastAsia="宋体" w:cs="Times New Roman"/>
          <w:color w:val="auto"/>
          <w:sz w:val="24"/>
          <w:szCs w:val="24"/>
          <w:highlight w:val="none"/>
          <w:vertAlign w:val="subscript"/>
          <w:lang w:val="en-US" w:eastAsia="zh-CN"/>
        </w:rPr>
        <w:t>3</w:t>
      </w:r>
      <w:r>
        <w:rPr>
          <w:rFonts w:hint="default" w:ascii="Times New Roman" w:hAnsi="Times New Roman" w:eastAsia="宋体" w:cs="Times New Roman"/>
          <w:color w:val="auto"/>
          <w:sz w:val="24"/>
          <w:szCs w:val="24"/>
          <w:highlight w:val="none"/>
          <w:lang w:val="en-US" w:eastAsia="zh-CN"/>
        </w:rPr>
        <w:t>和H</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S广泛存在于恶臭污染严重的污水处理和污泥处理设施中，是主要的恶臭污染源。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常德市德山污水处理厂提标改造二期工程配套的除臭系统及池体密封加盖，具体内容包括：</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color w:val="auto"/>
          <w:sz w:val="24"/>
          <w:szCs w:val="24"/>
          <w:highlight w:val="none"/>
          <w:u w:val="none"/>
          <w:lang w:val="en-US" w:eastAsia="zh-CN"/>
        </w:rPr>
      </w:pPr>
      <w:r>
        <w:rPr>
          <w:rFonts w:hint="eastAsia" w:ascii="Times New Roman" w:hAnsi="Times New Roman" w:eastAsia="宋体" w:cs="Times New Roman"/>
          <w:color w:val="auto"/>
          <w:sz w:val="24"/>
          <w:szCs w:val="24"/>
          <w:highlight w:val="none"/>
          <w:lang w:val="en-US" w:eastAsia="zh-CN"/>
        </w:rPr>
        <w:t>污泥脱水间</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污泥浓缩池</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水解酸化池密封加盖臭气收集后进入</w:t>
      </w:r>
      <w:r>
        <w:rPr>
          <w:rFonts w:hint="default" w:ascii="Times New Roman" w:hAnsi="Times New Roman" w:eastAsia="宋体" w:cs="Times New Roman"/>
          <w:color w:val="auto"/>
          <w:sz w:val="24"/>
          <w:szCs w:val="24"/>
          <w:highlight w:val="none"/>
          <w:lang w:val="en-US" w:eastAsia="zh-CN"/>
        </w:rPr>
        <w:t>生物除臭装置处理后通过排气筒达标排放</w:t>
      </w:r>
      <w:r>
        <w:rPr>
          <w:rFonts w:hint="default" w:ascii="Times New Roman" w:hAnsi="Times New Roman" w:eastAsia="宋体" w:cs="Times New Roman"/>
          <w:color w:val="auto"/>
          <w:sz w:val="24"/>
          <w:szCs w:val="24"/>
          <w:highlight w:val="none"/>
          <w:u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jc w:val="both"/>
        <w:textAlignment w:val="auto"/>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噪声</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项目营运期间噪声主要来自于污水处理厂的设备噪声，包括鼓风机、泵等，源强一般在80~93dB（A）之间。</w:t>
      </w:r>
    </w:p>
    <w:p>
      <w:pPr>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highlight w:val="cyan"/>
          <w:lang w:val="en-US" w:eastAsia="zh-CN"/>
        </w:rPr>
      </w:pPr>
      <w:r>
        <w:rPr>
          <w:rFonts w:hint="eastAsia"/>
          <w:color w:val="auto"/>
          <w:sz w:val="24"/>
          <w:szCs w:val="24"/>
          <w:highlight w:val="none"/>
          <w:lang w:val="en-US" w:eastAsia="zh-CN"/>
        </w:rPr>
        <w:t>采取隔声、降噪措施后能控制噪声对周边环境造成影响</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jc w:val="both"/>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sz w:val="24"/>
          <w:szCs w:val="24"/>
          <w:lang w:eastAsia="zh-CN"/>
        </w:rPr>
        <w:t>固废</w:t>
      </w:r>
    </w:p>
    <w:p>
      <w:pPr>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主要产生的固废为格栅渣、污泥</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生活垃圾</w:t>
      </w:r>
      <w:r>
        <w:rPr>
          <w:rFonts w:hint="eastAsia" w:ascii="Times New Roman" w:hAnsi="Times New Roman" w:cs="Times New Roman"/>
          <w:color w:val="auto"/>
          <w:sz w:val="24"/>
          <w:szCs w:val="24"/>
          <w:highlight w:val="none"/>
          <w:lang w:eastAsia="zh-CN"/>
        </w:rPr>
        <w:t>、实验室废液、废试剂空瓶</w:t>
      </w:r>
      <w:r>
        <w:rPr>
          <w:rFonts w:hint="default"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详见下表所述。</w:t>
      </w:r>
    </w:p>
    <w:p>
      <w:pPr>
        <w:pStyle w:val="4"/>
        <w:jc w:val="center"/>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eastAsia="宋体" w:cs="Times New Roman"/>
          <w:b/>
          <w:color w:val="auto"/>
          <w:kern w:val="2"/>
          <w:sz w:val="21"/>
          <w:szCs w:val="21"/>
          <w:highlight w:val="none"/>
          <w:lang w:val="en-US" w:eastAsia="zh-CN" w:bidi="ar-SA"/>
        </w:rPr>
        <w:t>表</w:t>
      </w:r>
      <w:r>
        <w:rPr>
          <w:rFonts w:hint="eastAsia" w:ascii="Times New Roman" w:hAnsi="Times New Roman" w:eastAsia="宋体" w:cs="Times New Roman"/>
          <w:b/>
          <w:color w:val="auto"/>
          <w:kern w:val="2"/>
          <w:sz w:val="21"/>
          <w:szCs w:val="21"/>
          <w:highlight w:val="none"/>
          <w:lang w:val="en-US" w:eastAsia="zh-CN" w:bidi="ar-SA"/>
        </w:rPr>
        <w:t>1</w:t>
      </w:r>
      <w:r>
        <w:rPr>
          <w:rFonts w:hint="default" w:ascii="Times New Roman" w:hAnsi="Times New Roman" w:eastAsia="宋体" w:cs="Times New Roman"/>
          <w:b/>
          <w:color w:val="auto"/>
          <w:kern w:val="2"/>
          <w:sz w:val="21"/>
          <w:szCs w:val="21"/>
          <w:highlight w:val="none"/>
          <w:lang w:val="en-US" w:eastAsia="zh-CN" w:bidi="ar-SA"/>
        </w:rPr>
        <w:t>-</w:t>
      </w:r>
      <w:r>
        <w:rPr>
          <w:rFonts w:hint="eastAsia" w:ascii="Times New Roman" w:hAnsi="Times New Roman" w:eastAsia="宋体" w:cs="Times New Roman"/>
          <w:b/>
          <w:color w:val="auto"/>
          <w:kern w:val="2"/>
          <w:sz w:val="21"/>
          <w:szCs w:val="21"/>
          <w:highlight w:val="none"/>
          <w:lang w:val="en-US" w:eastAsia="zh-CN" w:bidi="ar-SA"/>
        </w:rPr>
        <w:t>1</w:t>
      </w:r>
      <w:r>
        <w:rPr>
          <w:rFonts w:hint="default" w:ascii="Times New Roman" w:hAnsi="Times New Roman" w:eastAsia="宋体" w:cs="Times New Roman"/>
          <w:b/>
          <w:color w:val="auto"/>
          <w:kern w:val="2"/>
          <w:sz w:val="21"/>
          <w:szCs w:val="21"/>
          <w:highlight w:val="none"/>
          <w:lang w:val="en-US" w:eastAsia="zh-CN" w:bidi="ar-SA"/>
        </w:rPr>
        <w:t xml:space="preserve"> 项目主要固体废物产生量</w:t>
      </w: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695"/>
        <w:gridCol w:w="840"/>
        <w:gridCol w:w="1305"/>
        <w:gridCol w:w="1275"/>
        <w:gridCol w:w="1065"/>
        <w:gridCol w:w="945"/>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86" w:type="pct"/>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序号</w:t>
            </w:r>
          </w:p>
        </w:tc>
        <w:tc>
          <w:tcPr>
            <w:tcW w:w="408" w:type="pct"/>
            <w:vAlign w:val="center"/>
          </w:tcPr>
          <w:p>
            <w:pPr>
              <w:adjustRightInd w:val="0"/>
              <w:snapToGrid w:val="0"/>
              <w:jc w:val="center"/>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废物种类</w:t>
            </w:r>
          </w:p>
        </w:tc>
        <w:tc>
          <w:tcPr>
            <w:tcW w:w="493" w:type="pct"/>
            <w:vAlign w:val="center"/>
          </w:tcPr>
          <w:p>
            <w:pPr>
              <w:adjustRightInd w:val="0"/>
              <w:snapToGrid w:val="0"/>
              <w:jc w:val="center"/>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废物</w:t>
            </w:r>
            <w:r>
              <w:rPr>
                <w:rFonts w:hint="eastAsia" w:ascii="Times New Roman" w:hAnsi="Times New Roman" w:eastAsia="宋体" w:cs="Times New Roman"/>
                <w:b/>
                <w:bCs/>
                <w:color w:val="auto"/>
                <w:szCs w:val="21"/>
                <w:highlight w:val="none"/>
                <w:lang w:val="en-US" w:eastAsia="zh-CN"/>
              </w:rPr>
              <w:t>类别</w:t>
            </w:r>
          </w:p>
        </w:tc>
        <w:tc>
          <w:tcPr>
            <w:tcW w:w="766" w:type="pct"/>
            <w:vAlign w:val="center"/>
          </w:tcPr>
          <w:p>
            <w:pPr>
              <w:adjustRightInd w:val="0"/>
              <w:snapToGrid w:val="0"/>
              <w:jc w:val="center"/>
              <w:rPr>
                <w:rFonts w:hint="default" w:ascii="Times New Roman" w:hAnsi="Times New Roman" w:eastAsia="宋体" w:cs="Times New Roman"/>
                <w:b/>
                <w:bCs/>
                <w:color w:val="auto"/>
                <w:szCs w:val="21"/>
                <w:highlight w:val="none"/>
                <w:lang w:val="en-US" w:eastAsia="zh-CN"/>
              </w:rPr>
            </w:pPr>
            <w:r>
              <w:rPr>
                <w:rFonts w:hint="eastAsia" w:ascii="Times New Roman" w:hAnsi="Times New Roman" w:eastAsia="宋体" w:cs="Times New Roman"/>
                <w:b/>
                <w:bCs/>
                <w:color w:val="auto"/>
                <w:szCs w:val="21"/>
                <w:highlight w:val="none"/>
                <w:lang w:val="en-US" w:eastAsia="zh-CN"/>
              </w:rPr>
              <w:t>废物编号</w:t>
            </w:r>
          </w:p>
        </w:tc>
        <w:tc>
          <w:tcPr>
            <w:tcW w:w="748" w:type="pct"/>
            <w:vAlign w:val="center"/>
          </w:tcPr>
          <w:p>
            <w:pPr>
              <w:adjustRightInd w:val="0"/>
              <w:snapToGrid w:val="0"/>
              <w:jc w:val="center"/>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废物名称</w:t>
            </w:r>
          </w:p>
        </w:tc>
        <w:tc>
          <w:tcPr>
            <w:tcW w:w="625" w:type="pct"/>
            <w:vAlign w:val="center"/>
          </w:tcPr>
          <w:p>
            <w:pPr>
              <w:adjustRightInd w:val="0"/>
              <w:snapToGrid w:val="0"/>
              <w:jc w:val="center"/>
              <w:rPr>
                <w:rFonts w:hint="default" w:ascii="Times New Roman" w:hAnsi="Times New Roman" w:eastAsia="宋体" w:cs="Times New Roman"/>
                <w:b/>
                <w:bCs/>
                <w:color w:val="auto"/>
                <w:szCs w:val="21"/>
                <w:highlight w:val="none"/>
                <w:lang w:eastAsia="zh-CN"/>
              </w:rPr>
            </w:pPr>
            <w:r>
              <w:rPr>
                <w:rFonts w:hint="default" w:ascii="Times New Roman" w:hAnsi="Times New Roman" w:eastAsia="宋体" w:cs="Times New Roman"/>
                <w:b/>
                <w:bCs/>
                <w:color w:val="auto"/>
                <w:szCs w:val="21"/>
                <w:highlight w:val="none"/>
                <w:lang w:val="en-US" w:eastAsia="zh-CN"/>
              </w:rPr>
              <w:t>产生工序</w:t>
            </w:r>
          </w:p>
        </w:tc>
        <w:tc>
          <w:tcPr>
            <w:tcW w:w="554" w:type="pct"/>
            <w:vAlign w:val="center"/>
          </w:tcPr>
          <w:p>
            <w:pPr>
              <w:adjustRightInd w:val="0"/>
              <w:snapToGrid w:val="0"/>
              <w:jc w:val="center"/>
              <w:rPr>
                <w:rFonts w:hint="default"/>
                <w:b/>
                <w:bCs/>
                <w:color w:val="auto"/>
                <w:highlight w:val="none"/>
                <w:lang w:val="en-US" w:eastAsia="zh-CN"/>
              </w:rPr>
            </w:pPr>
            <w:r>
              <w:rPr>
                <w:rFonts w:hint="default"/>
                <w:b/>
                <w:bCs/>
                <w:color w:val="auto"/>
                <w:highlight w:val="none"/>
                <w:lang w:val="en-US" w:eastAsia="zh-CN"/>
              </w:rPr>
              <w:t>产生量</w:t>
            </w:r>
          </w:p>
          <w:p>
            <w:pPr>
              <w:pStyle w:val="4"/>
              <w:jc w:val="center"/>
              <w:rPr>
                <w:rFonts w:hint="default"/>
                <w:b/>
                <w:bCs/>
                <w:color w:val="auto"/>
                <w:highlight w:val="none"/>
                <w:lang w:val="en-US" w:eastAsia="zh-CN"/>
              </w:rPr>
            </w:pPr>
            <w:r>
              <w:rPr>
                <w:rFonts w:hint="eastAsia" w:ascii="Times New Roman" w:hAnsi="Times New Roman" w:eastAsia="宋体" w:cs="Times New Roman"/>
                <w:b/>
                <w:bCs/>
                <w:color w:val="auto"/>
                <w:szCs w:val="21"/>
                <w:highlight w:val="none"/>
                <w:lang w:val="en-US" w:eastAsia="zh-CN"/>
              </w:rPr>
              <w:t>（t/a）</w:t>
            </w:r>
          </w:p>
        </w:tc>
        <w:tc>
          <w:tcPr>
            <w:tcW w:w="1017" w:type="pct"/>
            <w:vAlign w:val="center"/>
          </w:tcPr>
          <w:p>
            <w:pPr>
              <w:adjustRightInd w:val="0"/>
              <w:snapToGrid w:val="0"/>
              <w:jc w:val="center"/>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处置</w:t>
            </w:r>
            <w:r>
              <w:rPr>
                <w:rFonts w:hint="eastAsia" w:ascii="Times New Roman" w:hAnsi="Times New Roman" w:eastAsia="宋体" w:cs="Times New Roman"/>
                <w:b/>
                <w:bCs/>
                <w:color w:val="auto"/>
                <w:szCs w:val="21"/>
                <w:highlight w:val="none"/>
                <w:lang w:val="en-US"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86" w:type="pct"/>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w:t>
            </w:r>
          </w:p>
        </w:tc>
        <w:tc>
          <w:tcPr>
            <w:tcW w:w="408" w:type="pct"/>
            <w:vMerge w:val="restart"/>
            <w:vAlign w:val="center"/>
          </w:tcPr>
          <w:p>
            <w:pPr>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危废</w:t>
            </w:r>
          </w:p>
        </w:tc>
        <w:tc>
          <w:tcPr>
            <w:tcW w:w="493" w:type="pct"/>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HW49</w:t>
            </w:r>
          </w:p>
        </w:tc>
        <w:tc>
          <w:tcPr>
            <w:tcW w:w="766" w:type="pct"/>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900-047-49</w:t>
            </w:r>
          </w:p>
        </w:tc>
        <w:tc>
          <w:tcPr>
            <w:tcW w:w="748" w:type="pct"/>
            <w:vAlign w:val="center"/>
          </w:tcPr>
          <w:p>
            <w:pPr>
              <w:jc w:val="center"/>
              <w:rPr>
                <w:rFonts w:hint="default" w:ascii="Times New Roman" w:hAnsi="Times New Roman" w:cs="Times New Roman" w:eastAsiaTheme="minorEastAsia"/>
                <w:color w:val="auto"/>
                <w:highlight w:val="none"/>
                <w:lang w:val="en-US" w:eastAsia="zh-CN"/>
              </w:rPr>
            </w:pPr>
            <w:r>
              <w:rPr>
                <w:rFonts w:hint="eastAsia" w:ascii="Times New Roman" w:hAnsi="Times New Roman" w:cs="Times New Roman"/>
                <w:color w:val="auto"/>
                <w:highlight w:val="none"/>
                <w:lang w:val="en-US" w:eastAsia="zh-CN"/>
              </w:rPr>
              <w:t>实验室废液</w:t>
            </w:r>
          </w:p>
        </w:tc>
        <w:tc>
          <w:tcPr>
            <w:tcW w:w="625" w:type="pct"/>
            <w:vAlign w:val="center"/>
          </w:tcPr>
          <w:p>
            <w:pPr>
              <w:jc w:val="center"/>
              <w:rPr>
                <w:rFonts w:hint="default"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实验室</w:t>
            </w:r>
          </w:p>
        </w:tc>
        <w:tc>
          <w:tcPr>
            <w:tcW w:w="554" w:type="pct"/>
            <w:vAlign w:val="center"/>
          </w:tcPr>
          <w:p>
            <w:pPr>
              <w:jc w:val="center"/>
              <w:rPr>
                <w:rFonts w:hint="default" w:ascii="Times New Roman" w:hAnsi="Times New Roman" w:cs="Times New Roman" w:eastAsiaTheme="minorEastAsia"/>
                <w:color w:val="auto"/>
                <w:highlight w:val="none"/>
                <w:lang w:val="en-US" w:eastAsia="zh-CN"/>
              </w:rPr>
            </w:pPr>
            <w:r>
              <w:rPr>
                <w:rFonts w:hint="eastAsia" w:ascii="Times New Roman" w:hAnsi="Times New Roman" w:cs="Times New Roman"/>
                <w:color w:val="auto"/>
                <w:highlight w:val="none"/>
                <w:lang w:val="en-US" w:eastAsia="zh-CN"/>
              </w:rPr>
              <w:t>0.3</w:t>
            </w:r>
          </w:p>
        </w:tc>
        <w:tc>
          <w:tcPr>
            <w:tcW w:w="1017" w:type="pct"/>
            <w:vMerge w:val="restart"/>
            <w:vAlign w:val="center"/>
          </w:tcPr>
          <w:p>
            <w:pPr>
              <w:adjustRightInd w:val="0"/>
              <w:snapToGrid w:val="0"/>
              <w:jc w:val="both"/>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已设危废暂存间，危废委托单位：</w:t>
            </w:r>
            <w:r>
              <w:rPr>
                <w:rFonts w:hint="eastAsia" w:ascii="Times New Roman" w:hAnsi="Times New Roman" w:eastAsia="宋体" w:cs="Times New Roman"/>
                <w:color w:val="auto"/>
                <w:szCs w:val="21"/>
                <w:highlight w:val="none"/>
                <w:lang w:val="en-US" w:eastAsia="zh-CN"/>
              </w:rPr>
              <w:t>常德德盈环保有限公司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w:t>
            </w:r>
          </w:p>
        </w:tc>
        <w:tc>
          <w:tcPr>
            <w:tcW w:w="408" w:type="pct"/>
            <w:vMerge w:val="continue"/>
            <w:vAlign w:val="center"/>
          </w:tcPr>
          <w:p>
            <w:pPr>
              <w:jc w:val="center"/>
              <w:rPr>
                <w:rFonts w:hint="default" w:ascii="Times New Roman" w:hAnsi="Times New Roman" w:cs="Times New Roman"/>
                <w:color w:val="auto"/>
                <w:highlight w:val="none"/>
                <w:lang w:val="en-US" w:eastAsia="zh-CN"/>
              </w:rPr>
            </w:pPr>
          </w:p>
        </w:tc>
        <w:tc>
          <w:tcPr>
            <w:tcW w:w="493" w:type="pct"/>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HW49</w:t>
            </w:r>
          </w:p>
        </w:tc>
        <w:tc>
          <w:tcPr>
            <w:tcW w:w="766" w:type="pct"/>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900-047-49</w:t>
            </w:r>
          </w:p>
        </w:tc>
        <w:tc>
          <w:tcPr>
            <w:tcW w:w="748" w:type="pct"/>
            <w:vAlign w:val="center"/>
          </w:tcPr>
          <w:p>
            <w:pPr>
              <w:jc w:val="center"/>
              <w:rPr>
                <w:rFonts w:hint="default" w:ascii="Times New Roman" w:hAnsi="Times New Roman" w:cs="Times New Roman" w:eastAsiaTheme="minorEastAsia"/>
                <w:color w:val="auto"/>
                <w:highlight w:val="none"/>
                <w:lang w:val="en-US" w:eastAsia="zh-CN"/>
              </w:rPr>
            </w:pPr>
            <w:r>
              <w:rPr>
                <w:rFonts w:hint="eastAsia" w:ascii="Times New Roman" w:hAnsi="Times New Roman" w:cs="Times New Roman"/>
                <w:color w:val="auto"/>
                <w:highlight w:val="none"/>
                <w:lang w:val="en-US" w:eastAsia="zh-CN"/>
              </w:rPr>
              <w:t>废试剂空瓶</w:t>
            </w:r>
          </w:p>
        </w:tc>
        <w:tc>
          <w:tcPr>
            <w:tcW w:w="625" w:type="pct"/>
            <w:vAlign w:val="center"/>
          </w:tcPr>
          <w:p>
            <w:pPr>
              <w:jc w:val="center"/>
              <w:rPr>
                <w:rFonts w:hint="default"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实验室</w:t>
            </w:r>
          </w:p>
        </w:tc>
        <w:tc>
          <w:tcPr>
            <w:tcW w:w="554" w:type="pct"/>
            <w:vAlign w:val="center"/>
          </w:tcPr>
          <w:p>
            <w:pPr>
              <w:jc w:val="center"/>
              <w:rPr>
                <w:rFonts w:hint="default" w:ascii="Times New Roman" w:hAnsi="Times New Roman" w:cs="Times New Roman" w:eastAsiaTheme="minorEastAsia"/>
                <w:color w:val="auto"/>
                <w:highlight w:val="none"/>
                <w:lang w:val="en-US" w:eastAsia="zh-CN"/>
              </w:rPr>
            </w:pPr>
            <w:r>
              <w:rPr>
                <w:rFonts w:hint="eastAsia" w:ascii="Times New Roman" w:hAnsi="Times New Roman" w:cs="Times New Roman"/>
                <w:color w:val="auto"/>
                <w:highlight w:val="none"/>
                <w:lang w:val="en-US" w:eastAsia="zh-CN"/>
              </w:rPr>
              <w:t>0.2</w:t>
            </w:r>
          </w:p>
        </w:tc>
        <w:tc>
          <w:tcPr>
            <w:tcW w:w="1017" w:type="pct"/>
            <w:vMerge w:val="continue"/>
            <w:vAlign w:val="center"/>
          </w:tcPr>
          <w:p>
            <w:pPr>
              <w:adjustRightInd w:val="0"/>
              <w:snapToGrid w:val="0"/>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3</w:t>
            </w:r>
          </w:p>
        </w:tc>
        <w:tc>
          <w:tcPr>
            <w:tcW w:w="408" w:type="pct"/>
            <w:vMerge w:val="restart"/>
            <w:vAlign w:val="center"/>
          </w:tcPr>
          <w:p>
            <w:pPr>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一般固废</w:t>
            </w:r>
          </w:p>
        </w:tc>
        <w:tc>
          <w:tcPr>
            <w:tcW w:w="493" w:type="pct"/>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w:t>
            </w:r>
          </w:p>
        </w:tc>
        <w:tc>
          <w:tcPr>
            <w:tcW w:w="766" w:type="pct"/>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w:t>
            </w:r>
          </w:p>
        </w:tc>
        <w:tc>
          <w:tcPr>
            <w:tcW w:w="748" w:type="pct"/>
            <w:vAlign w:val="center"/>
          </w:tcPr>
          <w:p>
            <w:pPr>
              <w:jc w:val="center"/>
              <w:rPr>
                <w:rFonts w:hint="default" w:ascii="Times New Roman" w:hAnsi="Times New Roman" w:cs="Times New Roman" w:eastAsiaTheme="minorEastAsia"/>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污泥</w:t>
            </w:r>
          </w:p>
        </w:tc>
        <w:tc>
          <w:tcPr>
            <w:tcW w:w="625" w:type="pct"/>
            <w:vAlign w:val="center"/>
          </w:tcPr>
          <w:p>
            <w:pPr>
              <w:jc w:val="center"/>
              <w:rPr>
                <w:rFonts w:hint="default" w:ascii="Times New Roman" w:hAnsi="Times New Roman" w:cs="Times New Roman" w:eastAsiaTheme="minorEastAsia"/>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污泥处理</w:t>
            </w:r>
          </w:p>
        </w:tc>
        <w:tc>
          <w:tcPr>
            <w:tcW w:w="554" w:type="pct"/>
            <w:vAlign w:val="center"/>
          </w:tcPr>
          <w:p>
            <w:pPr>
              <w:jc w:val="center"/>
              <w:rPr>
                <w:rFonts w:hint="default" w:ascii="Times New Roman" w:hAnsi="Times New Roman" w:cs="Times New Roman" w:eastAsiaTheme="minorEastAsia"/>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6000</w:t>
            </w:r>
          </w:p>
        </w:tc>
        <w:tc>
          <w:tcPr>
            <w:tcW w:w="1017" w:type="pct"/>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委托常德中联环保电力有限公司进行处理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4</w:t>
            </w:r>
          </w:p>
        </w:tc>
        <w:tc>
          <w:tcPr>
            <w:tcW w:w="408" w:type="pct"/>
            <w:vMerge w:val="continue"/>
            <w:vAlign w:val="center"/>
          </w:tcPr>
          <w:p>
            <w:pPr>
              <w:jc w:val="center"/>
              <w:rPr>
                <w:rFonts w:hint="default" w:ascii="Times New Roman" w:hAnsi="Times New Roman" w:cs="Times New Roman"/>
                <w:color w:val="auto"/>
                <w:highlight w:val="none"/>
                <w:lang w:val="en-US" w:eastAsia="zh-CN"/>
              </w:rPr>
            </w:pPr>
          </w:p>
        </w:tc>
        <w:tc>
          <w:tcPr>
            <w:tcW w:w="493" w:type="pct"/>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w:t>
            </w:r>
          </w:p>
        </w:tc>
        <w:tc>
          <w:tcPr>
            <w:tcW w:w="766" w:type="pct"/>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w:t>
            </w:r>
          </w:p>
        </w:tc>
        <w:tc>
          <w:tcPr>
            <w:tcW w:w="748" w:type="pct"/>
            <w:vAlign w:val="center"/>
          </w:tcPr>
          <w:p>
            <w:pPr>
              <w:jc w:val="center"/>
              <w:rPr>
                <w:rFonts w:hint="default" w:ascii="Times New Roman" w:hAnsi="Times New Roman" w:cs="Times New Roman" w:eastAsiaTheme="minorEastAsia"/>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生活垃圾</w:t>
            </w:r>
          </w:p>
        </w:tc>
        <w:tc>
          <w:tcPr>
            <w:tcW w:w="625" w:type="pct"/>
            <w:vAlign w:val="center"/>
          </w:tcPr>
          <w:p>
            <w:pPr>
              <w:jc w:val="center"/>
              <w:rPr>
                <w:rFonts w:hint="default" w:ascii="Times New Roman" w:hAnsi="Times New Roman" w:cs="Times New Roman" w:eastAsiaTheme="minorEastAsia"/>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生活</w:t>
            </w:r>
          </w:p>
        </w:tc>
        <w:tc>
          <w:tcPr>
            <w:tcW w:w="554" w:type="pct"/>
            <w:vAlign w:val="center"/>
          </w:tcPr>
          <w:p>
            <w:pPr>
              <w:jc w:val="center"/>
              <w:rPr>
                <w:rFonts w:hint="default" w:ascii="Times New Roman" w:hAnsi="Times New Roman" w:cs="Times New Roman" w:eastAsiaTheme="minorEastAsia"/>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0.3</w:t>
            </w:r>
          </w:p>
        </w:tc>
        <w:tc>
          <w:tcPr>
            <w:tcW w:w="1017" w:type="pct"/>
            <w:vMerge w:val="restart"/>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由环卫清运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w:t>
            </w:r>
          </w:p>
        </w:tc>
        <w:tc>
          <w:tcPr>
            <w:tcW w:w="408" w:type="pct"/>
            <w:vMerge w:val="continue"/>
            <w:vAlign w:val="center"/>
          </w:tcPr>
          <w:p>
            <w:pPr>
              <w:jc w:val="center"/>
              <w:rPr>
                <w:rFonts w:hint="default" w:ascii="Times New Roman" w:hAnsi="Times New Roman" w:cs="Times New Roman"/>
                <w:color w:val="auto"/>
                <w:highlight w:val="none"/>
                <w:lang w:val="en-US" w:eastAsia="zh-CN"/>
              </w:rPr>
            </w:pPr>
          </w:p>
        </w:tc>
        <w:tc>
          <w:tcPr>
            <w:tcW w:w="493" w:type="pct"/>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w:t>
            </w:r>
          </w:p>
        </w:tc>
        <w:tc>
          <w:tcPr>
            <w:tcW w:w="766" w:type="pct"/>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w:t>
            </w:r>
          </w:p>
        </w:tc>
        <w:tc>
          <w:tcPr>
            <w:tcW w:w="748" w:type="pct"/>
            <w:vAlign w:val="center"/>
          </w:tcPr>
          <w:p>
            <w:pPr>
              <w:jc w:val="center"/>
              <w:rPr>
                <w:rFonts w:hint="default" w:ascii="Times New Roman" w:hAnsi="Times New Roman" w:cs="Times New Roman" w:eastAsiaTheme="minorEastAsia"/>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格栅渣</w:t>
            </w:r>
          </w:p>
        </w:tc>
        <w:tc>
          <w:tcPr>
            <w:tcW w:w="625" w:type="pct"/>
            <w:vAlign w:val="center"/>
          </w:tcPr>
          <w:p>
            <w:pPr>
              <w:jc w:val="center"/>
              <w:rPr>
                <w:rFonts w:hint="default" w:ascii="Times New Roman" w:hAnsi="Times New Roman" w:cs="Times New Roman" w:eastAsiaTheme="minorEastAsia"/>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格栅</w:t>
            </w:r>
          </w:p>
        </w:tc>
        <w:tc>
          <w:tcPr>
            <w:tcW w:w="554" w:type="pct"/>
            <w:vAlign w:val="center"/>
          </w:tcPr>
          <w:p>
            <w:pPr>
              <w:jc w:val="center"/>
              <w:rPr>
                <w:rFonts w:hint="default" w:ascii="Times New Roman" w:hAnsi="Times New Roman" w:cs="Times New Roman" w:eastAsiaTheme="minorEastAsia"/>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300</w:t>
            </w:r>
          </w:p>
        </w:tc>
        <w:tc>
          <w:tcPr>
            <w:tcW w:w="1017" w:type="pct"/>
            <w:vMerge w:val="continue"/>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sz w:val="24"/>
          <w:szCs w:val="24"/>
          <w:lang w:val="en-US" w:eastAsia="zh-CN"/>
        </w:rPr>
        <w:t>三、</w:t>
      </w:r>
      <w:r>
        <w:rPr>
          <w:rFonts w:hint="default" w:ascii="Times New Roman" w:hAnsi="Times New Roman" w:eastAsia="宋体" w:cs="Times New Roman"/>
          <w:b/>
          <w:bCs/>
          <w:color w:val="auto"/>
          <w:sz w:val="24"/>
          <w:szCs w:val="24"/>
          <w:lang w:val="en-US" w:eastAsia="zh-CN"/>
        </w:rPr>
        <w:t>环境保护设施调试效果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（一）废气</w:t>
      </w:r>
    </w:p>
    <w:p>
      <w:pPr>
        <w:spacing w:line="360" w:lineRule="auto"/>
        <w:ind w:firstLine="480" w:firstLineChars="200"/>
        <w:rPr>
          <w:rFonts w:hint="default" w:ascii="Times New Roman" w:hAnsi="Times New Roman" w:cs="Times New Roman" w:eastAsiaTheme="minorEastAsia"/>
          <w:color w:val="auto"/>
          <w:sz w:val="24"/>
          <w:lang w:val="en-US" w:eastAsia="zh-CN"/>
        </w:rPr>
      </w:pPr>
      <w:r>
        <w:rPr>
          <w:rFonts w:hint="default" w:ascii="Times New Roman" w:hAnsi="Times New Roman" w:cs="Times New Roman"/>
          <w:color w:val="auto"/>
          <w:sz w:val="24"/>
          <w:lang w:val="en-US" w:eastAsia="zh-CN"/>
        </w:rPr>
        <w:t>（1）有组织废气</w:t>
      </w:r>
    </w:p>
    <w:p>
      <w:pPr>
        <w:spacing w:line="360" w:lineRule="auto"/>
        <w:ind w:firstLine="48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根据监测结果，验收监测期间，</w:t>
      </w:r>
      <w:r>
        <w:rPr>
          <w:rFonts w:hint="eastAsia" w:ascii="Times New Roman" w:hAnsi="Times New Roman" w:cs="Times New Roman"/>
          <w:color w:val="auto"/>
          <w:sz w:val="24"/>
          <w:szCs w:val="24"/>
          <w:highlight w:val="none"/>
          <w:u w:val="none"/>
          <w:lang w:val="en-US" w:eastAsia="zh-CN"/>
        </w:rPr>
        <w:t>二期工程生物除臭系统排气筒排口各项因子满足《恶臭污染物排放标准》（GB14554-93）表2中排放限值</w:t>
      </w:r>
      <w:r>
        <w:rPr>
          <w:rFonts w:hint="default" w:ascii="Times New Roman" w:hAnsi="Times New Roman" w:cs="Times New Roman"/>
          <w:color w:val="auto"/>
          <w:sz w:val="24"/>
          <w:szCs w:val="24"/>
          <w:highlight w:val="none"/>
          <w:u w:val="none"/>
          <w:lang w:val="en-US" w:eastAsia="zh-CN"/>
        </w:rPr>
        <w:t>。</w:t>
      </w:r>
    </w:p>
    <w:p>
      <w:pPr>
        <w:spacing w:line="360" w:lineRule="auto"/>
        <w:ind w:firstLine="480" w:firstLineChars="200"/>
        <w:rPr>
          <w:rFonts w:hint="default" w:ascii="Times New Roman" w:hAnsi="Times New Roman" w:cs="Times New Roman" w:eastAsiaTheme="minorEastAsia"/>
          <w:color w:val="auto"/>
          <w:sz w:val="24"/>
          <w:lang w:val="en-US" w:eastAsia="zh-CN"/>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无组织废气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根据监测结果，验收监测期间，</w:t>
      </w:r>
      <w:r>
        <w:rPr>
          <w:rFonts w:hint="eastAsia" w:ascii="Times New Roman" w:hAnsi="Times New Roman" w:cs="Times New Roman"/>
          <w:color w:val="auto"/>
          <w:sz w:val="24"/>
          <w:szCs w:val="24"/>
          <w:highlight w:val="none"/>
          <w:u w:val="none"/>
          <w:lang w:val="en-US" w:eastAsia="zh-CN"/>
        </w:rPr>
        <w:t>厂界无组织废气符合《城镇污水处理厂污染物排放标准》（GB18918-2002）及修改单中表4厂界（防护带边缘）废气排放量最高允许浓度二级排放标准</w:t>
      </w:r>
      <w:r>
        <w:rPr>
          <w:rFonts w:hint="default" w:ascii="Times New Roman" w:hAnsi="Times New Roman" w:cs="Times New Roman"/>
          <w:color w:val="auto"/>
          <w:sz w:val="24"/>
          <w:szCs w:val="24"/>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（二）</w:t>
      </w:r>
      <w:r>
        <w:rPr>
          <w:rFonts w:hint="eastAsia" w:ascii="Times New Roman" w:hAnsi="Times New Roman" w:eastAsia="宋体" w:cs="Times New Roman"/>
          <w:color w:val="auto"/>
          <w:sz w:val="24"/>
          <w:szCs w:val="24"/>
          <w:lang w:val="en-US" w:eastAsia="zh-CN"/>
        </w:rPr>
        <w:t>废水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根据监测结果，验收监测期间，</w:t>
      </w:r>
      <w:r>
        <w:rPr>
          <w:rFonts w:hint="eastAsia" w:ascii="Times New Roman" w:hAnsi="Times New Roman" w:cs="Times New Roman"/>
          <w:color w:val="auto"/>
          <w:sz w:val="24"/>
          <w:szCs w:val="24"/>
          <w:highlight w:val="none"/>
          <w:u w:val="none"/>
          <w:lang w:val="en-US" w:eastAsia="zh-CN"/>
        </w:rPr>
        <w:t>废水</w:t>
      </w:r>
      <w:r>
        <w:rPr>
          <w:rFonts w:hint="default" w:ascii="Times New Roman" w:hAnsi="Times New Roman" w:cs="Times New Roman"/>
          <w:color w:val="auto"/>
          <w:sz w:val="24"/>
          <w:szCs w:val="24"/>
          <w:highlight w:val="none"/>
          <w:u w:val="none"/>
          <w:lang w:val="en-US" w:eastAsia="zh-CN"/>
        </w:rPr>
        <w:t>各项指标符合《城镇污水处理厂污染物排放标准》（GB18918-2002）表1中一级A标准。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（三）噪声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根据监测结果，验收监测期间，厂界环境噪声符合《工业企业厂界环境噪声排放标准》 （GB12348-2008）表1中2类标准。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四</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固废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color w:val="auto"/>
          <w:sz w:val="24"/>
          <w:szCs w:val="24"/>
          <w:highlight w:val="none"/>
          <w:u w:val="none"/>
          <w:lang w:eastAsia="zh-CN"/>
        </w:rPr>
      </w:pPr>
      <w:r>
        <w:rPr>
          <w:rFonts w:hint="eastAsia" w:ascii="Times New Roman" w:hAnsi="Times New Roman" w:cs="Times New Roman"/>
          <w:color w:val="auto"/>
          <w:sz w:val="24"/>
          <w:szCs w:val="24"/>
          <w:highlight w:val="none"/>
          <w:u w:val="none"/>
          <w:lang w:eastAsia="zh-CN"/>
        </w:rPr>
        <w:t>本公司危险废物符合《危险废物贮存污染控制标准》（GB18597-2023）标准；一般工业固体废物符合《一般工业固体废物贮存和填埋污染控制标准》（GB18599-2020）。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sz w:val="24"/>
          <w:szCs w:val="24"/>
          <w:lang w:val="en-US" w:eastAsia="zh-CN"/>
        </w:rPr>
        <w:t>四</w:t>
      </w:r>
      <w:r>
        <w:rPr>
          <w:rFonts w:hint="default" w:ascii="Times New Roman" w:hAnsi="Times New Roman" w:eastAsia="宋体" w:cs="Times New Roman"/>
          <w:b/>
          <w:bCs/>
          <w:color w:val="auto"/>
          <w:sz w:val="24"/>
          <w:szCs w:val="24"/>
          <w:lang w:val="en-US" w:eastAsia="zh-CN"/>
        </w:rPr>
        <w:t>、工程建设对环境的影响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（1）</w:t>
      </w:r>
      <w:r>
        <w:rPr>
          <w:rFonts w:hint="eastAsia" w:ascii="Times New Roman" w:hAnsi="Times New Roman" w:cs="Times New Roman"/>
          <w:color w:val="auto"/>
          <w:sz w:val="24"/>
          <w:szCs w:val="24"/>
          <w:highlight w:val="none"/>
          <w:u w:val="none"/>
          <w:lang w:val="en-US" w:eastAsia="zh-CN"/>
        </w:rPr>
        <w:t>环境空气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根据监测结果，验收监测期间，环境空气</w:t>
      </w:r>
      <w:r>
        <w:rPr>
          <w:rFonts w:hint="eastAsia" w:ascii="Times New Roman" w:hAnsi="Times New Roman" w:cs="Times New Roman"/>
          <w:color w:val="auto"/>
          <w:sz w:val="24"/>
          <w:szCs w:val="24"/>
          <w:highlight w:val="none"/>
          <w:u w:val="none"/>
          <w:lang w:val="en-US" w:eastAsia="zh-CN"/>
        </w:rPr>
        <w:t>氨和硫化氢符合</w:t>
      </w:r>
      <w:r>
        <w:rPr>
          <w:rFonts w:hint="default" w:ascii="Times New Roman" w:hAnsi="Times New Roman" w:cs="Times New Roman"/>
          <w:color w:val="auto"/>
          <w:sz w:val="24"/>
          <w:szCs w:val="24"/>
          <w:highlight w:val="none"/>
          <w:u w:val="none"/>
          <w:lang w:val="en-US" w:eastAsia="zh-CN"/>
        </w:rPr>
        <w:t>《环境影响评价技术导则 大气环境》附录D标准限值。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（2）</w:t>
      </w:r>
      <w:r>
        <w:rPr>
          <w:rFonts w:hint="eastAsia" w:ascii="Times New Roman" w:hAnsi="Times New Roman" w:cs="Times New Roman"/>
          <w:color w:val="auto"/>
          <w:sz w:val="24"/>
          <w:szCs w:val="24"/>
          <w:highlight w:val="none"/>
          <w:u w:val="none"/>
          <w:lang w:val="en-US" w:eastAsia="zh-CN"/>
        </w:rPr>
        <w:t>环境噪声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根据监测结果，验收监测期间，环境噪声</w:t>
      </w:r>
      <w:r>
        <w:rPr>
          <w:rFonts w:hint="eastAsia" w:ascii="Times New Roman" w:hAnsi="Times New Roman" w:cs="Times New Roman"/>
          <w:color w:val="auto"/>
          <w:sz w:val="24"/>
          <w:szCs w:val="24"/>
          <w:highlight w:val="none"/>
          <w:u w:val="none"/>
          <w:lang w:val="en-US" w:eastAsia="zh-CN"/>
        </w:rPr>
        <w:t>符合</w:t>
      </w:r>
      <w:r>
        <w:rPr>
          <w:rFonts w:hint="default" w:ascii="Times New Roman" w:hAnsi="Times New Roman" w:cs="Times New Roman"/>
          <w:color w:val="auto"/>
          <w:sz w:val="24"/>
          <w:szCs w:val="24"/>
          <w:highlight w:val="none"/>
          <w:u w:val="none"/>
          <w:lang w:val="en-US" w:eastAsia="zh-CN"/>
        </w:rPr>
        <w:t>《声环境质量标准》（GB3096-2008）2类区标准限值。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（3）</w:t>
      </w:r>
      <w:r>
        <w:rPr>
          <w:rFonts w:hint="eastAsia" w:ascii="Times New Roman" w:hAnsi="Times New Roman" w:cs="Times New Roman"/>
          <w:color w:val="auto"/>
          <w:sz w:val="24"/>
          <w:szCs w:val="24"/>
          <w:highlight w:val="none"/>
          <w:u w:val="none"/>
          <w:lang w:val="en-US" w:eastAsia="zh-CN"/>
        </w:rPr>
        <w:t>地表水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根据监测结果，验收监测期间，</w:t>
      </w:r>
      <w:r>
        <w:rPr>
          <w:rFonts w:hint="eastAsia" w:ascii="Times New Roman" w:hAnsi="Times New Roman" w:cs="Times New Roman"/>
          <w:color w:val="auto"/>
          <w:sz w:val="24"/>
          <w:szCs w:val="24"/>
          <w:highlight w:val="none"/>
          <w:u w:val="none"/>
          <w:lang w:val="en-US" w:eastAsia="zh-CN"/>
        </w:rPr>
        <w:t>地表水各项因子符合</w:t>
      </w:r>
      <w:r>
        <w:rPr>
          <w:rFonts w:hint="eastAsia" w:ascii="Times New Roman" w:hAnsi="Times New Roman" w:cs="Times New Roman"/>
          <w:color w:val="auto"/>
          <w:sz w:val="24"/>
          <w:szCs w:val="24"/>
          <w:highlight w:val="none"/>
        </w:rPr>
        <w:t>《地表水环境质量标准》（GB3838-2002）</w:t>
      </w:r>
      <w:r>
        <w:rPr>
          <w:rFonts w:hint="eastAsia" w:ascii="宋体" w:hAnsi="宋体" w:eastAsia="宋体" w:cs="宋体"/>
          <w:color w:val="auto"/>
          <w:sz w:val="24"/>
          <w:szCs w:val="24"/>
          <w:highlight w:val="none"/>
          <w:u w:val="none"/>
          <w:lang w:val="en-US" w:eastAsia="zh-CN"/>
        </w:rPr>
        <w:t>Ⅲ</w:t>
      </w:r>
      <w:r>
        <w:rPr>
          <w:rFonts w:hint="default" w:ascii="Times New Roman" w:hAnsi="Times New Roman" w:cs="Times New Roman"/>
          <w:color w:val="auto"/>
          <w:sz w:val="24"/>
          <w:szCs w:val="24"/>
          <w:highlight w:val="none"/>
          <w:u w:val="none"/>
          <w:lang w:val="en-US" w:eastAsia="zh-CN"/>
        </w:rPr>
        <w:t>类</w:t>
      </w:r>
      <w:r>
        <w:rPr>
          <w:rFonts w:hint="eastAsia" w:ascii="Times New Roman" w:hAnsi="Times New Roman" w:cs="Times New Roman"/>
          <w:color w:val="auto"/>
          <w:sz w:val="24"/>
          <w:szCs w:val="24"/>
          <w:highlight w:val="none"/>
          <w:u w:val="none"/>
          <w:lang w:val="en-US" w:eastAsia="zh-CN"/>
        </w:rPr>
        <w:t>标准限值</w:t>
      </w:r>
      <w:r>
        <w:rPr>
          <w:rFonts w:hint="default" w:ascii="Times New Roman" w:hAnsi="Times New Roman" w:cs="Times New Roman"/>
          <w:color w:val="auto"/>
          <w:sz w:val="24"/>
          <w:szCs w:val="24"/>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sz w:val="24"/>
          <w:szCs w:val="24"/>
          <w:lang w:val="en-US" w:eastAsia="zh-CN"/>
        </w:rPr>
        <w:t>五</w:t>
      </w:r>
      <w:r>
        <w:rPr>
          <w:rFonts w:hint="default" w:ascii="Times New Roman" w:hAnsi="Times New Roman" w:eastAsia="宋体" w:cs="Times New Roman"/>
          <w:b/>
          <w:bCs/>
          <w:sz w:val="24"/>
          <w:szCs w:val="24"/>
          <w:lang w:val="en-US" w:eastAsia="zh-CN"/>
        </w:rPr>
        <w:t>、</w:t>
      </w:r>
      <w:r>
        <w:rPr>
          <w:rFonts w:hint="default" w:ascii="Times New Roman" w:hAnsi="Times New Roman" w:eastAsia="宋体" w:cs="Times New Roman"/>
          <w:b/>
          <w:bCs/>
          <w:color w:val="auto"/>
          <w:sz w:val="24"/>
          <w:szCs w:val="24"/>
          <w:lang w:val="en-US" w:eastAsia="zh-CN"/>
        </w:rPr>
        <w:t>验收结论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lang w:eastAsia="zh-CN"/>
        </w:rPr>
      </w:pPr>
      <w:r>
        <w:rPr>
          <w:rFonts w:hint="default" w:ascii="Times New Roman" w:hAnsi="Times New Roman" w:cs="Times New Roman"/>
          <w:color w:val="auto"/>
          <w:sz w:val="24"/>
          <w:szCs w:val="24"/>
          <w:highlight w:val="none"/>
          <w:u w:val="none"/>
        </w:rPr>
        <w:t>本项目污染物</w:t>
      </w:r>
      <w:r>
        <w:rPr>
          <w:rFonts w:hint="eastAsia" w:ascii="Times New Roman" w:hAnsi="Times New Roman" w:cs="Times New Roman"/>
          <w:color w:val="auto"/>
          <w:sz w:val="24"/>
          <w:szCs w:val="24"/>
          <w:highlight w:val="none"/>
          <w:u w:val="none"/>
          <w:lang w:eastAsia="zh-CN"/>
        </w:rPr>
        <w:t>均能</w:t>
      </w:r>
      <w:r>
        <w:rPr>
          <w:rFonts w:hint="default" w:ascii="Times New Roman" w:hAnsi="Times New Roman" w:cs="Times New Roman"/>
          <w:color w:val="auto"/>
          <w:sz w:val="24"/>
          <w:szCs w:val="24"/>
          <w:highlight w:val="none"/>
          <w:u w:val="none"/>
        </w:rPr>
        <w:t>达标排放</w:t>
      </w:r>
      <w:r>
        <w:rPr>
          <w:rFonts w:hint="eastAsia" w:ascii="Times New Roman" w:hAnsi="Times New Roman" w:cs="Times New Roman"/>
          <w:color w:val="auto"/>
          <w:sz w:val="24"/>
          <w:szCs w:val="24"/>
          <w:highlight w:val="none"/>
          <w:u w:val="none"/>
          <w:lang w:eastAsia="zh-CN"/>
        </w:rPr>
        <w:t>，</w:t>
      </w:r>
      <w:r>
        <w:rPr>
          <w:rFonts w:hint="default" w:ascii="Times New Roman" w:hAnsi="Times New Roman" w:eastAsia="宋体" w:cs="Times New Roman"/>
          <w:b w:val="0"/>
          <w:bCs w:val="0"/>
          <w:sz w:val="24"/>
          <w:szCs w:val="24"/>
          <w:lang w:eastAsia="zh-CN"/>
        </w:rPr>
        <w:t>验收组同意该项目通过验收。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六、</w:t>
      </w:r>
      <w:r>
        <w:rPr>
          <w:rFonts w:hint="default" w:ascii="Times New Roman" w:hAnsi="Times New Roman" w:eastAsia="宋体" w:cs="Times New Roman"/>
          <w:b/>
          <w:bCs/>
          <w:sz w:val="24"/>
          <w:szCs w:val="24"/>
          <w:lang w:val="en-US" w:eastAsia="zh-CN"/>
        </w:rPr>
        <w:t>后续要求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(1)加强设备维护管理，做好职工环保教育</w:t>
      </w:r>
      <w:bookmarkStart w:id="0" w:name="_GoBack"/>
      <w:bookmarkEnd w:id="0"/>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(2)制定相应的环保管理制度。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七、</w:t>
      </w:r>
      <w:r>
        <w:rPr>
          <w:rFonts w:hint="default" w:ascii="Times New Roman" w:hAnsi="Times New Roman" w:eastAsia="宋体" w:cs="Times New Roman"/>
          <w:b/>
          <w:bCs/>
          <w:sz w:val="24"/>
          <w:szCs w:val="24"/>
          <w:lang w:val="en-US" w:eastAsia="zh-CN"/>
        </w:rPr>
        <w:t>验收人员信息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验收人员</w:t>
      </w:r>
      <w:r>
        <w:rPr>
          <w:rFonts w:hint="eastAsia" w:ascii="Times New Roman" w:hAnsi="Times New Roman" w:eastAsia="宋体" w:cs="Times New Roman"/>
          <w:b w:val="0"/>
          <w:bCs w:val="0"/>
          <w:sz w:val="24"/>
          <w:szCs w:val="24"/>
          <w:lang w:val="en-US" w:eastAsia="zh-CN"/>
        </w:rPr>
        <w:t>见签到表</w:t>
      </w:r>
      <w:r>
        <w:rPr>
          <w:rFonts w:hint="default" w:ascii="Times New Roman" w:hAnsi="Times New Roman" w:eastAsia="宋体" w:cs="Times New Roman"/>
          <w:b w:val="0"/>
          <w:bCs w:val="0"/>
          <w:sz w:val="24"/>
          <w:szCs w:val="24"/>
          <w:lang w:val="en-US" w:eastAsia="zh-CN"/>
        </w:rPr>
        <w:t>。</w:t>
      </w:r>
    </w:p>
    <w:p>
      <w:pPr>
        <w:pStyle w:val="2"/>
        <w:jc w:val="right"/>
        <w:rPr>
          <w:rFonts w:hint="default" w:ascii="Times New Roman" w:hAnsi="Times New Roman" w:eastAsia="宋体" w:cs="Times New Roman"/>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imes New Roman" w:hAnsi="Times New Roman" w:eastAsia="宋体" w:cs="Times New Roman"/>
          <w:b w:val="0"/>
          <w:bCs w:val="0"/>
          <w:sz w:val="24"/>
          <w:szCs w:val="24"/>
          <w:lang w:eastAsia="zh-CN"/>
        </w:rPr>
      </w:pPr>
      <w:r>
        <w:rPr>
          <w:rFonts w:hint="eastAsia" w:ascii="Times New Roman" w:hAnsi="Times New Roman" w:eastAsia="宋体" w:cs="Times New Roman"/>
          <w:b w:val="0"/>
          <w:bCs w:val="0"/>
          <w:sz w:val="24"/>
          <w:szCs w:val="24"/>
          <w:lang w:eastAsia="zh-CN"/>
        </w:rPr>
        <w:t>常德清蓝水务有限公司</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eastAsia="宋体" w:cs="Times New Roman"/>
          <w:b w:val="0"/>
          <w:bCs w:val="0"/>
          <w:sz w:val="24"/>
          <w:szCs w:val="24"/>
          <w:highlight w:val="none"/>
          <w:lang w:val="en-US" w:eastAsia="zh-CN"/>
        </w:rPr>
        <w:t>202</w:t>
      </w:r>
      <w:r>
        <w:rPr>
          <w:rFonts w:hint="eastAsia" w:ascii="Times New Roman" w:hAnsi="Times New Roman" w:eastAsia="宋体" w:cs="Times New Roman"/>
          <w:b w:val="0"/>
          <w:bCs w:val="0"/>
          <w:sz w:val="24"/>
          <w:szCs w:val="24"/>
          <w:highlight w:val="none"/>
          <w:lang w:val="en-US" w:eastAsia="zh-CN"/>
        </w:rPr>
        <w:t>4</w:t>
      </w:r>
      <w:r>
        <w:rPr>
          <w:rFonts w:hint="default" w:ascii="Times New Roman" w:hAnsi="Times New Roman" w:eastAsia="宋体" w:cs="Times New Roman"/>
          <w:b w:val="0"/>
          <w:bCs w:val="0"/>
          <w:sz w:val="24"/>
          <w:szCs w:val="24"/>
          <w:highlight w:val="none"/>
          <w:lang w:val="en-US" w:eastAsia="zh-CN"/>
        </w:rPr>
        <w:t>年</w:t>
      </w:r>
      <w:r>
        <w:rPr>
          <w:rFonts w:hint="eastAsia" w:ascii="Times New Roman" w:hAnsi="Times New Roman" w:eastAsia="宋体" w:cs="Times New Roman"/>
          <w:b w:val="0"/>
          <w:bCs w:val="0"/>
          <w:sz w:val="24"/>
          <w:szCs w:val="24"/>
          <w:highlight w:val="none"/>
          <w:lang w:val="en-US" w:eastAsia="zh-CN"/>
        </w:rPr>
        <w:t>3</w:t>
      </w:r>
      <w:r>
        <w:rPr>
          <w:rFonts w:hint="default" w:ascii="Times New Roman" w:hAnsi="Times New Roman" w:eastAsia="宋体" w:cs="Times New Roman"/>
          <w:b w:val="0"/>
          <w:bCs w:val="0"/>
          <w:sz w:val="24"/>
          <w:szCs w:val="24"/>
          <w:highlight w:val="none"/>
          <w:lang w:val="en-US" w:eastAsia="zh-CN"/>
        </w:rPr>
        <w:t>月</w:t>
      </w:r>
      <w:r>
        <w:rPr>
          <w:rFonts w:hint="eastAsia" w:ascii="Times New Roman" w:hAnsi="Times New Roman" w:eastAsia="宋体" w:cs="Times New Roman"/>
          <w:b w:val="0"/>
          <w:bCs w:val="0"/>
          <w:sz w:val="24"/>
          <w:szCs w:val="24"/>
          <w:highlight w:val="none"/>
          <w:lang w:val="en-US" w:eastAsia="zh-CN"/>
        </w:rPr>
        <w:t>13</w:t>
      </w:r>
      <w:r>
        <w:rPr>
          <w:rFonts w:hint="default" w:ascii="Times New Roman" w:hAnsi="Times New Roman" w:eastAsia="宋体" w:cs="Times New Roman"/>
          <w:b w:val="0"/>
          <w:bCs w:val="0"/>
          <w:sz w:val="24"/>
          <w:szCs w:val="24"/>
          <w:highlight w:val="none"/>
          <w:lang w:val="en-US" w:eastAsia="zh-CN"/>
        </w:rPr>
        <w:t>日</w:t>
      </w:r>
    </w:p>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DDF25"/>
    <w:multiLevelType w:val="singleLevel"/>
    <w:tmpl w:val="D70DDF25"/>
    <w:lvl w:ilvl="0" w:tentative="0">
      <w:start w:val="1"/>
      <w:numFmt w:val="chineseCounting"/>
      <w:suff w:val="nothing"/>
      <w:lvlText w:val="（%1）"/>
      <w:lvlJc w:val="left"/>
      <w:pPr>
        <w:ind w:left="0" w:firstLine="420"/>
      </w:pPr>
      <w:rPr>
        <w:rFonts w:hint="eastAsia"/>
      </w:rPr>
    </w:lvl>
  </w:abstractNum>
  <w:abstractNum w:abstractNumId="1">
    <w:nsid w:val="35C67E49"/>
    <w:multiLevelType w:val="singleLevel"/>
    <w:tmpl w:val="35C67E49"/>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ZGI3MzcwOTg4ZTI1ZTBiYWZiMDQxMGNlYTU5NzcifQ=="/>
  </w:docVars>
  <w:rsids>
    <w:rsidRoot w:val="00000000"/>
    <w:rsid w:val="12045226"/>
    <w:rsid w:val="13165211"/>
    <w:rsid w:val="163F682C"/>
    <w:rsid w:val="165878EE"/>
    <w:rsid w:val="171E6442"/>
    <w:rsid w:val="290322B0"/>
    <w:rsid w:val="3A10210A"/>
    <w:rsid w:val="42F00D2B"/>
    <w:rsid w:val="441A7E0D"/>
    <w:rsid w:val="4D461C73"/>
    <w:rsid w:val="57C02622"/>
    <w:rsid w:val="5CB84210"/>
    <w:rsid w:val="5D9562FF"/>
    <w:rsid w:val="61F45CEA"/>
    <w:rsid w:val="63617289"/>
    <w:rsid w:val="6A0942FC"/>
    <w:rsid w:val="6BDA5F51"/>
    <w:rsid w:val="6D2D3E5E"/>
    <w:rsid w:val="72B34E05"/>
    <w:rsid w:val="73816EF5"/>
    <w:rsid w:val="79694470"/>
    <w:rsid w:val="79A33E26"/>
    <w:rsid w:val="7A5E5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qFormat/>
    <w:uiPriority w:val="0"/>
    <w:pPr>
      <w:keepNext/>
      <w:keepLines/>
      <w:outlineLvl w:val="2"/>
    </w:p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3">
    <w:name w:val="footer"/>
    <w:basedOn w:val="1"/>
    <w:autoRedefine/>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Heading4"/>
    <w:basedOn w:val="1"/>
    <w:next w:val="1"/>
    <w:autoRedefine/>
    <w:qFormat/>
    <w:uiPriority w:val="0"/>
    <w:pPr>
      <w:keepNext/>
      <w:keepLines/>
      <w:tabs>
        <w:tab w:val="left" w:pos="992"/>
      </w:tabs>
      <w:spacing w:before="280" w:after="290" w:line="376" w:lineRule="atLeast"/>
      <w:ind w:left="992" w:hanging="992"/>
      <w:jc w:val="left"/>
    </w:pPr>
    <w:rPr>
      <w:rFonts w:ascii="Arial" w:hAnsi="Arial" w:eastAsia="黑体"/>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2691</Words>
  <Characters>3046</Characters>
  <Lines>0</Lines>
  <Paragraphs>0</Paragraphs>
  <TotalTime>0</TotalTime>
  <ScaleCrop>false</ScaleCrop>
  <LinksUpToDate>false</LinksUpToDate>
  <CharactersWithSpaces>3058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Administrator.PC-20190611YHJG</dc:creator>
  <cp:lastModifiedBy>金琳</cp:lastModifiedBy>
  <dcterms:modified xsi:type="dcterms:W3CDTF">2024-04-01T03:41:00Z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BEFE9EC03B274FA98A5321921DC32AFE_12</vt:lpwstr>
  </property>
</Properties>
</file>